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546" w:rsidRPr="00E4061E" w:rsidRDefault="00716546" w:rsidP="00E4061E">
      <w:pPr>
        <w:spacing w:after="0" w:line="240" w:lineRule="auto"/>
        <w:ind w:firstLine="709"/>
        <w:jc w:val="center"/>
        <w:rPr>
          <w:b/>
        </w:rPr>
      </w:pPr>
      <w:bookmarkStart w:id="0" w:name="_GoBack"/>
      <w:r w:rsidRPr="00E4061E">
        <w:rPr>
          <w:b/>
        </w:rPr>
        <w:t>Раздел IX</w:t>
      </w:r>
      <w:r w:rsidR="00E4061E" w:rsidRPr="00E4061E">
        <w:rPr>
          <w:b/>
        </w:rPr>
        <w:t xml:space="preserve"> Жилищного кодекса РФ</w:t>
      </w:r>
      <w:r w:rsidRPr="00E4061E">
        <w:rPr>
          <w:b/>
        </w:rPr>
        <w:t>. Организация проведения капитального ремонта общего имущества в многоквартирных домах (статьи 166 - 191)</w:t>
      </w:r>
    </w:p>
    <w:bookmarkEnd w:id="0"/>
    <w:p w:rsidR="00716546" w:rsidRDefault="00E4061E" w:rsidP="00716546">
      <w:pPr>
        <w:spacing w:after="0" w:line="240" w:lineRule="auto"/>
        <w:ind w:firstLine="709"/>
        <w:jc w:val="both"/>
      </w:pPr>
      <w:r>
        <w:t xml:space="preserve"> </w:t>
      </w:r>
      <w:r w:rsidR="00716546">
        <w:t>(Дополнительно включен с 26 декабря 2012 года Федеральным законом от 25 декабря 2012 года N 271-ФЗ)</w:t>
      </w:r>
    </w:p>
    <w:p w:rsidR="00716546" w:rsidRDefault="00716546" w:rsidP="00716546">
      <w:pPr>
        <w:spacing w:after="0" w:line="240" w:lineRule="auto"/>
        <w:ind w:firstLine="709"/>
        <w:jc w:val="both"/>
      </w:pPr>
      <w:r>
        <w:t>Глава 15. Общие положения о капитальном ремонте общего имущества в многоквартирных домах и порядке его финансирования (статьи 166 - 174)</w:t>
      </w:r>
    </w:p>
    <w:p w:rsidR="00716546" w:rsidRDefault="00716546" w:rsidP="00716546">
      <w:pPr>
        <w:spacing w:after="0" w:line="240" w:lineRule="auto"/>
        <w:ind w:firstLine="709"/>
        <w:jc w:val="both"/>
      </w:pPr>
      <w:r>
        <w:t>Статья 166. Капитальный ремонт общего имущества в многоквартирном доме</w:t>
      </w:r>
    </w:p>
    <w:p w:rsidR="00716546" w:rsidRDefault="00716546" w:rsidP="00716546">
      <w:pPr>
        <w:spacing w:after="0" w:line="240" w:lineRule="auto"/>
        <w:ind w:firstLine="709"/>
        <w:jc w:val="both"/>
      </w:pPr>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ремонт внутридомовых инженерных систем электро-, тепло-, газо-, водоснабжения, водоотведения;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ремонт или замену лифтового оборудования, признанного непригодным для эксплуатации, ремонт лифтовых шахт;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ремонт крыши;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ремонт подвальных помещений, относящихся к общему имуществу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ремонт фасада;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ремонт фундамента многоквартирного дома.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 xml:space="preserve">     Комментарий к статье 166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167. Обеспечение своевременного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716546" w:rsidRDefault="00716546" w:rsidP="00716546">
      <w:pPr>
        <w:spacing w:after="0" w:line="240" w:lineRule="auto"/>
        <w:ind w:firstLine="709"/>
        <w:jc w:val="both"/>
      </w:pPr>
      <w:r>
        <w:t xml:space="preserve">     (Абзац в редакции, введенной в действие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устанавливается минимальный размер взноса на капитальный ремонт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устанавливается порядок проведения мониторинга технического состояния многоквартирных домов;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716546" w:rsidRDefault="00716546" w:rsidP="00716546">
      <w:pPr>
        <w:spacing w:after="0" w:line="240" w:lineRule="auto"/>
        <w:ind w:firstLine="709"/>
        <w:jc w:val="both"/>
      </w:pPr>
      <w:r>
        <w:t xml:space="preserve">    (Пункт в редакции, введенной в действие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w:t>
      </w:r>
      <w:r>
        <w:lastRenderedPageBreak/>
        <w:t>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16546" w:rsidRDefault="00716546" w:rsidP="00716546">
      <w:pPr>
        <w:spacing w:after="0" w:line="240" w:lineRule="auto"/>
        <w:ind w:firstLine="709"/>
        <w:jc w:val="both"/>
      </w:pPr>
      <w:r>
        <w:t xml:space="preserve">     (Часть дополнительно включена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168. Региональная программа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w:t>
      </w:r>
    </w:p>
    <w:p w:rsidR="00716546" w:rsidRDefault="00716546" w:rsidP="00716546">
      <w:pPr>
        <w:spacing w:after="0" w:line="240" w:lineRule="auto"/>
        <w:ind w:firstLine="709"/>
        <w:jc w:val="both"/>
      </w:pPr>
      <w:r>
        <w:lastRenderedPageBreak/>
        <w:t xml:space="preserve">     (Пункт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перечень услуг и (или) работ по капитальному ремонту общего имущества в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плановый период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r>
        <w:t xml:space="preserve">     (Пункт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Региональная программа капитального ремонта подлежит актуализации не реже чем один раз в год.</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w:t>
      </w:r>
      <w:r>
        <w:lastRenderedPageBreak/>
        <w:t>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16546" w:rsidRDefault="00716546" w:rsidP="00716546">
      <w:pPr>
        <w:spacing w:after="0" w:line="240" w:lineRule="auto"/>
        <w:ind w:firstLine="709"/>
        <w:jc w:val="both"/>
      </w:pPr>
      <w:r>
        <w:t xml:space="preserve">     (Часть дополнительно включена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169. Взносы на капитальный ремонт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8_1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 *169.2)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169</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170. Фонд капитального ремонта и способы формирования данного фонда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lastRenderedPageBreak/>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Собственники помещений в многоквартирном доме вправе выбрать один из следующих способов формирования фонда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владелец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Не позднее чем за месяц до окончания срока, установленного частью 5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171. Особенности уплаты взносов на капитальный ремонт</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171</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Статья 172. Контроль за формированием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Орган государственного жилищного надзора предоставляет сведения, указанные в частях 1-4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*172.5)</w:t>
      </w:r>
    </w:p>
    <w:p w:rsidR="00716546" w:rsidRDefault="00716546" w:rsidP="00716546">
      <w:pPr>
        <w:spacing w:after="0" w:line="240" w:lineRule="auto"/>
        <w:ind w:firstLine="709"/>
        <w:jc w:val="both"/>
      </w:pPr>
      <w:r>
        <w:t xml:space="preserve">     (Часть в редакции, введенной в действие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173. Изменение способа формирования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173</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174. Использование средств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174</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16. Формирование фонда капитального ремонта на специальном счете (статьи 175 - 177)</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175. Специальный счет</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Владельцем специального счета может быть:</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716546" w:rsidRDefault="00716546" w:rsidP="00716546">
      <w:pPr>
        <w:spacing w:after="0" w:line="240" w:lineRule="auto"/>
        <w:ind w:firstLine="709"/>
        <w:jc w:val="both"/>
      </w:pPr>
      <w:r>
        <w:t xml:space="preserve">    (Пункт в редакции, введенной в действие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осуществляющие управление многоквартирным домом жилищный кооператив или иной специализированный потребительский кооператив.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управляющая организация.</w:t>
      </w:r>
    </w:p>
    <w:p w:rsidR="00716546" w:rsidRDefault="00716546" w:rsidP="00716546">
      <w:pPr>
        <w:spacing w:after="0" w:line="240" w:lineRule="auto"/>
        <w:ind w:firstLine="709"/>
        <w:jc w:val="both"/>
      </w:pPr>
      <w:r>
        <w:t xml:space="preserve">     (Пункт дополнительно включен с 1 января 2015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Договор специального счета является бессрочным.</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1_2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175</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176. Особенности открытия и закрытия специального счета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1_1 части 2 статьи 44 настоящего Кодекса, и других документов, предусмотренных банковскими правилами.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Остаток денежных средств при закрытии специального счета перечисляется по заявлению владельца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на счет регионального оператора в случае изменения способа формирования фонда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w:t>
      </w:r>
      <w:r>
        <w:lastRenderedPageBreak/>
        <w:t>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177. Совершение операций по специальному счету</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По специальному счету могут совершаться следующие операции: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зачисление взносов на капитальный ремонт, начисление процентов за ненадлежащее исполнение обязанности по уплате таких взносов;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перечисление денежных средств, находящихся на данном специальном счете, в случаях, предусмотренных частью 2 статьи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Операции по специальному счету, не предусмотренные частью 1 настоящей статьи, не допускаются.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договор об оказании услуг и (или) о выполнении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кредитного договора, договора займа.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     Комментарий к статье 177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 (статьи 178 - 188)</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178. Правовое положение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является юридическим лицом, созданным в организационно-правовой форме фонда.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w:t>
      </w:r>
      <w:r>
        <w:lastRenderedPageBreak/>
        <w:t>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4_1.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716546" w:rsidRDefault="00716546" w:rsidP="00716546">
      <w:pPr>
        <w:spacing w:after="0" w:line="240" w:lineRule="auto"/>
        <w:ind w:firstLine="709"/>
        <w:jc w:val="both"/>
      </w:pPr>
      <w:r>
        <w:t xml:space="preserve">    (Часть дополнительно включена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законодательством.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*178.7)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179. Имущество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Имущество регионального оператора формируется за счет: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взносов учредителя;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других не запрещенных законом источников.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179</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180. Функции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Функциями регионального оператора являются: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181. Формирование фондов капитального ремонта на счете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частью 7 статьи 170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статьей 445 Гражданского кодекса Российской Федерации,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статьей 171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3. В случаях, предусмотренных частью 7 статьи 170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181</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182. Обязанности регионального оператора по организации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в целях обеспечения выполнения работ по капитальному ремонту общего имущества в многоквартирном доме обязан:</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осуществлять приемку выполненных работ;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Порядок привлечения региональным оператором, в том числе в случаях, предусмотренных частью 3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183. Учет фондов капитального ремонта региональным оператором</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w:t>
      </w:r>
      <w:r>
        <w:lastRenderedPageBreak/>
        <w:t>средств каждого собственника помещений в многоквартирном доме. Ведение такого учета может осуществляться в электронной форме.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Система учета фондов капитального ремонта включает в себя, в частности, сведения о:</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183</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184. Возврат средств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     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частями 10 и 11 статьи 32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w:t>
      </w:r>
      <w:r>
        <w:lastRenderedPageBreak/>
        <w:t>сохраняют право на получение выкупной цены за изымаемое жилое помещение и иные предусмотренные статьей 32 настоящего Кодекса права.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184</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185. Основные требования к финансовой устойчивости деятельности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185</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186. Контроль за деятельностью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w:t>
      </w:r>
      <w:r>
        <w:lastRenderedPageBreak/>
        <w:t>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187. Отчетность и аудит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188. Ответственность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18. Проведение капитального ремонта общего имущества в многоквартирном доме (статьи 189 - 191)</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189. Решение о проведении капитального ремонта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перечень работ по капитальному ремонту;</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смета расходов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сроки проведения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источники финансирования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716546" w:rsidRDefault="00716546" w:rsidP="00716546">
      <w:pPr>
        <w:spacing w:after="0" w:line="240" w:lineRule="auto"/>
        <w:ind w:firstLine="709"/>
        <w:jc w:val="both"/>
      </w:pPr>
      <w:r>
        <w:t xml:space="preserve">     (Пункт дополнительно включен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w:t>
      </w:r>
      <w:r>
        <w:lastRenderedPageBreak/>
        <w:t>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189</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190. Финансирование расходов на проведение капитального ремонта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w:t>
      </w:r>
      <w:r>
        <w:lastRenderedPageBreak/>
        <w:t>уплачиваемых в виде взноса на капитальный ремонт сверх минимального размера взноса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190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191. Меры государственной поддержки, муниципальной поддержки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Финансирование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191</w:t>
      </w:r>
    </w:p>
    <w:p w:rsidR="00716546" w:rsidRDefault="00716546" w:rsidP="00716546">
      <w:pPr>
        <w:spacing w:after="0" w:line="240" w:lineRule="auto"/>
        <w:ind w:firstLine="709"/>
        <w:jc w:val="both"/>
      </w:pPr>
      <w:r>
        <w:t xml:space="preserve">     </w:t>
      </w:r>
    </w:p>
    <w:p w:rsidR="003A35BB" w:rsidRDefault="00716546" w:rsidP="00716546">
      <w:pPr>
        <w:spacing w:after="0" w:line="240" w:lineRule="auto"/>
        <w:ind w:firstLine="709"/>
        <w:jc w:val="both"/>
      </w:pPr>
      <w:r>
        <w:t xml:space="preserve">     </w:t>
      </w:r>
    </w:p>
    <w:sectPr w:rsidR="003A3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46"/>
    <w:rsid w:val="003A35BB"/>
    <w:rsid w:val="00716546"/>
    <w:rsid w:val="00E4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C62BB-8172-4485-BB5D-1713884E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11287</Words>
  <Characters>64339</Characters>
  <Application>Microsoft Office Word</Application>
  <DocSecurity>0</DocSecurity>
  <Lines>536</Lines>
  <Paragraphs>150</Paragraphs>
  <ScaleCrop>false</ScaleCrop>
  <Company/>
  <LinksUpToDate>false</LinksUpToDate>
  <CharactersWithSpaces>75476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2015-03-17T13:52:00Z</dcterms:created>
  <dcterms:modified xsi:type="dcterms:W3CDTF">2015-03-17T20:07:00Z</dcterms:modified>
</cp:coreProperties>
</file>